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76B3FEA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312E9">
        <w:rPr>
          <w:rFonts w:ascii="Corbel" w:hAnsi="Corbel"/>
          <w:sz w:val="20"/>
          <w:szCs w:val="20"/>
        </w:rPr>
        <w:t>2025/26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2312E9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00E2EA7C" w:rsidR="0085747A" w:rsidRPr="00B169DF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Prognozowanie i symulacje</w:t>
            </w:r>
          </w:p>
        </w:tc>
      </w:tr>
      <w:tr w:rsidR="0085747A" w:rsidRPr="00B169DF" w14:paraId="3ACE5527" w14:textId="77777777" w:rsidTr="002312E9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25B0105F" w:rsidR="0085747A" w:rsidRPr="00B169DF" w:rsidRDefault="00231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SM2_11</w:t>
            </w:r>
          </w:p>
        </w:tc>
      </w:tr>
      <w:tr w:rsidR="0085747A" w:rsidRPr="00B169DF" w14:paraId="66AFC85E" w14:textId="77777777" w:rsidTr="002312E9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6F21FD28" w:rsidR="0085747A" w:rsidRPr="00B169DF" w:rsidRDefault="00231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2312E9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4795C0A0" w:rsidR="0085747A" w:rsidRPr="00B169DF" w:rsidRDefault="00231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</w:t>
            </w:r>
            <w:r w:rsidR="00347BDE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>olityce</w:t>
            </w:r>
          </w:p>
        </w:tc>
      </w:tr>
      <w:tr w:rsidR="0085747A" w:rsidRPr="00B169DF" w14:paraId="013EE83C" w14:textId="77777777" w:rsidTr="002312E9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2E6C496A" w:rsidR="0085747A" w:rsidRPr="00B169DF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2312E9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121DDEDF" w:rsidR="0085747A" w:rsidRPr="00B169DF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B169DF" w14:paraId="253731A1" w14:textId="77777777" w:rsidTr="002312E9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746DF600" w:rsidR="0085747A" w:rsidRPr="00B169DF" w:rsidRDefault="00231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30678F84" w14:textId="77777777" w:rsidTr="002312E9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15AFDAD8" w:rsidR="0085747A" w:rsidRPr="00B169DF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483A0087" w14:textId="77777777" w:rsidTr="002312E9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5A8F6D64" w:rsidR="0085747A" w:rsidRPr="00B169DF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pierwszy, semestr 2</w:t>
            </w:r>
          </w:p>
        </w:tc>
      </w:tr>
      <w:tr w:rsidR="0085747A" w:rsidRPr="00B169DF" w14:paraId="768FFFB6" w14:textId="77777777" w:rsidTr="002312E9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2C727E3F" w:rsidR="0085747A" w:rsidRPr="00B169DF" w:rsidRDefault="00231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7E8A2D8" w14:textId="77777777" w:rsidTr="002312E9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4F4A56F5" w:rsidR="00923D7D" w:rsidRPr="00B169DF" w:rsidRDefault="00C25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2312E9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2A50FBC2" w:rsidR="0085747A" w:rsidRPr="00B169DF" w:rsidRDefault="00231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Maciej Milczanowski, prof. UR</w:t>
            </w:r>
          </w:p>
        </w:tc>
      </w:tr>
      <w:tr w:rsidR="002312E9" w:rsidRPr="00B169DF" w14:paraId="7AC848B6" w14:textId="77777777" w:rsidTr="002312E9">
        <w:tc>
          <w:tcPr>
            <w:tcW w:w="2694" w:type="dxa"/>
            <w:vAlign w:val="center"/>
          </w:tcPr>
          <w:p w14:paraId="207B0304" w14:textId="77777777" w:rsidR="002312E9" w:rsidRPr="00B169DF" w:rsidRDefault="002312E9" w:rsidP="002312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2860899E" w:rsidR="002312E9" w:rsidRPr="00B169DF" w:rsidRDefault="002312E9" w:rsidP="00231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Maciej Milczanowski, prof. UR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2E6C7B70" w:rsidR="00015B8F" w:rsidRPr="00B169DF" w:rsidRDefault="00C25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260AD364" w:rsidR="00015B8F" w:rsidRPr="00B169DF" w:rsidRDefault="00C25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5080CC00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556B5A8E" w:rsidR="00015B8F" w:rsidRPr="00B169DF" w:rsidRDefault="009C1C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12C8489D" w:rsidR="00015B8F" w:rsidRPr="00B169DF" w:rsidRDefault="00C258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169DF" w14:paraId="6FB408A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2C0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DD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95E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B0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996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D11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2C3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19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A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3EE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2D4B01E2" w:rsidR="0085747A" w:rsidRPr="00B169DF" w:rsidRDefault="00C258B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56837B08" w:rsidR="009C54AE" w:rsidRPr="00B169DF" w:rsidRDefault="001134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60F4390D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B7FCADC" w14:textId="011D0023" w:rsidR="0085747A" w:rsidRPr="00B169DF" w:rsidRDefault="00844A5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  <w:p w14:paraId="10961B7D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0AA398DC" w14:textId="77777777" w:rsidTr="00923D7D">
        <w:tc>
          <w:tcPr>
            <w:tcW w:w="851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660390" w14:textId="72AE2203" w:rsidR="0085747A" w:rsidRPr="002312E9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bCs/>
                <w:sz w:val="24"/>
                <w:szCs w:val="24"/>
              </w:rPr>
            </w:pPr>
            <w:r w:rsidRPr="002312E9">
              <w:rPr>
                <w:rFonts w:asciiTheme="minorHAnsi" w:hAnsiTheme="minorHAnsi" w:cstheme="minorHAnsi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zapoznanie studentów z podstawowymi pojęciami, metodami i technikami prognostyki międzynarodowej.</w:t>
            </w:r>
          </w:p>
        </w:tc>
      </w:tr>
      <w:tr w:rsidR="0085747A" w:rsidRPr="00B169DF" w14:paraId="41F0B2B1" w14:textId="77777777" w:rsidTr="00923D7D">
        <w:tc>
          <w:tcPr>
            <w:tcW w:w="851" w:type="dxa"/>
            <w:vAlign w:val="center"/>
          </w:tcPr>
          <w:p w14:paraId="412BF8D4" w14:textId="5D65EC15" w:rsidR="0085747A" w:rsidRPr="00B169DF" w:rsidRDefault="00C258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F5ACBD" w14:textId="44D0DAD7" w:rsidR="0085747A" w:rsidRPr="002312E9" w:rsidRDefault="00C258BA" w:rsidP="009C54A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bCs/>
                <w:sz w:val="24"/>
                <w:szCs w:val="24"/>
              </w:rPr>
            </w:pPr>
            <w:r w:rsidRPr="002312E9">
              <w:rPr>
                <w:rFonts w:asciiTheme="minorHAnsi" w:hAnsiTheme="minorHAnsi" w:cstheme="minorHAnsi"/>
                <w:b w:val="0"/>
                <w:bCs/>
                <w:color w:val="06022E"/>
                <w:sz w:val="23"/>
                <w:szCs w:val="23"/>
                <w:shd w:val="clear" w:color="auto" w:fill="F8F8F8"/>
              </w:rPr>
              <w:t>poznanie konkretnych metod prognozowania, ich mocnych stron i ograniczeń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C258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58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58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58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783096E" w14:textId="77777777" w:rsidTr="005E6E85">
        <w:tc>
          <w:tcPr>
            <w:tcW w:w="1701" w:type="dxa"/>
          </w:tcPr>
          <w:p w14:paraId="57F7A0D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D91FA1" w14:textId="77777777" w:rsidR="00C258BA" w:rsidRPr="00C258BA" w:rsidRDefault="00C258BA" w:rsidP="00C258BA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C258BA">
              <w:rPr>
                <w:rFonts w:ascii="Corbel" w:hAnsi="Corbel"/>
                <w:color w:val="06022E"/>
                <w:sz w:val="23"/>
                <w:szCs w:val="23"/>
              </w:rPr>
              <w:t>Wymienić i scharakteryzować metody prognozowania stosunków międzynarodowych</w:t>
            </w:r>
          </w:p>
          <w:p w14:paraId="51E14266" w14:textId="77777777" w:rsidR="0085747A" w:rsidRPr="00C258BA" w:rsidRDefault="0085747A" w:rsidP="00C258BA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smallCaps/>
              </w:rPr>
            </w:pPr>
          </w:p>
        </w:tc>
        <w:tc>
          <w:tcPr>
            <w:tcW w:w="1873" w:type="dxa"/>
          </w:tcPr>
          <w:p w14:paraId="017AE307" w14:textId="77777777" w:rsidR="0085747A" w:rsidRDefault="009965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D200A" w14:textId="6706EF00" w:rsidR="009965CC" w:rsidRPr="00B169DF" w:rsidRDefault="009965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B169DF" w14:paraId="1A5E24D8" w14:textId="77777777" w:rsidTr="005E6E85">
        <w:tc>
          <w:tcPr>
            <w:tcW w:w="1701" w:type="dxa"/>
          </w:tcPr>
          <w:p w14:paraId="790DAD1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01C6DE" w14:textId="77777777" w:rsidR="00C258BA" w:rsidRPr="00C258BA" w:rsidRDefault="00C258BA" w:rsidP="00C258BA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C258BA">
              <w:rPr>
                <w:rFonts w:ascii="Corbel" w:hAnsi="Corbel"/>
                <w:color w:val="06022E"/>
                <w:sz w:val="23"/>
                <w:szCs w:val="23"/>
              </w:rPr>
              <w:t>Omówić i scharakteryzować modele układu stosunków międzynarodowych</w:t>
            </w:r>
          </w:p>
          <w:p w14:paraId="1CB5DCAB" w14:textId="77777777" w:rsidR="0085747A" w:rsidRPr="00C258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1CCD8EA" w14:textId="77777777" w:rsidR="0085747A" w:rsidRDefault="009965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9582421" w14:textId="77777777" w:rsidR="009965CC" w:rsidRDefault="009965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DF3E1A" w14:textId="139B8F9D" w:rsidR="009965CC" w:rsidRPr="00B169DF" w:rsidRDefault="009965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BA" w:rsidRPr="00B169DF" w14:paraId="46B06510" w14:textId="77777777" w:rsidTr="00D60E8C">
        <w:tc>
          <w:tcPr>
            <w:tcW w:w="1701" w:type="dxa"/>
          </w:tcPr>
          <w:p w14:paraId="6B750F07" w14:textId="28C1D72C" w:rsidR="00C258BA" w:rsidRPr="00B169DF" w:rsidRDefault="00C258BA" w:rsidP="00D60E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E3D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CE684C" w14:textId="77777777" w:rsidR="00C258BA" w:rsidRPr="00844A50" w:rsidRDefault="00C258BA" w:rsidP="00D60E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4A50">
              <w:rPr>
                <w:rFonts w:ascii="Corbel" w:hAnsi="Corbel"/>
                <w:b w:val="0"/>
                <w:smallCaps w:val="0"/>
                <w:color w:val="06022E"/>
                <w:sz w:val="23"/>
                <w:szCs w:val="23"/>
                <w:shd w:val="clear" w:color="auto" w:fill="FFFFFF"/>
              </w:rPr>
              <w:t>potrafi analizować rzeczywistość międzynarodową, posługując się metodami prognozowania</w:t>
            </w:r>
          </w:p>
        </w:tc>
        <w:tc>
          <w:tcPr>
            <w:tcW w:w="1873" w:type="dxa"/>
          </w:tcPr>
          <w:p w14:paraId="1A6AB68D" w14:textId="77777777" w:rsidR="00C258BA" w:rsidRDefault="009965CC" w:rsidP="00D60E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D83DC89" w14:textId="220B13C5" w:rsidR="009965CC" w:rsidRPr="00B169DF" w:rsidRDefault="009965CC" w:rsidP="00D60E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44A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C258BA" w:rsidRPr="00B169DF" w14:paraId="01A4C18F" w14:textId="77777777" w:rsidTr="00D60E8C">
        <w:tc>
          <w:tcPr>
            <w:tcW w:w="1701" w:type="dxa"/>
          </w:tcPr>
          <w:p w14:paraId="7821E2DD" w14:textId="6D69017A" w:rsidR="00C258BA" w:rsidRPr="00B169DF" w:rsidRDefault="00C258BA" w:rsidP="00D60E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E3D70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7092023" w14:textId="2775B2D8" w:rsidR="00C258BA" w:rsidRPr="00C258BA" w:rsidRDefault="00C258BA" w:rsidP="00C258BA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Corbel" w:hAnsi="Corbel"/>
                <w:color w:val="06022E"/>
                <w:sz w:val="23"/>
                <w:szCs w:val="23"/>
              </w:rPr>
            </w:pPr>
            <w:r w:rsidRPr="00C258BA">
              <w:rPr>
                <w:rFonts w:ascii="Corbel" w:hAnsi="Corbel"/>
                <w:color w:val="06022E"/>
                <w:sz w:val="23"/>
                <w:szCs w:val="23"/>
              </w:rPr>
              <w:t>Potrafi łączyć wiedzę teoretyczną z praktyką, stosuje wiedzę teoretyczną do analiz</w:t>
            </w:r>
          </w:p>
        </w:tc>
        <w:tc>
          <w:tcPr>
            <w:tcW w:w="1873" w:type="dxa"/>
          </w:tcPr>
          <w:p w14:paraId="70A5071C" w14:textId="77777777" w:rsidR="00C258BA" w:rsidRDefault="009965CC" w:rsidP="00D60E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422AF1D" w14:textId="0693F5CF" w:rsidR="009965CC" w:rsidRPr="00B169DF" w:rsidRDefault="009965CC" w:rsidP="00D60E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5747A" w:rsidRPr="00B169DF" w14:paraId="04BEF786" w14:textId="77777777" w:rsidTr="005E6E85">
        <w:tc>
          <w:tcPr>
            <w:tcW w:w="1701" w:type="dxa"/>
          </w:tcPr>
          <w:p w14:paraId="28B82B31" w14:textId="2499DFCA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E3D70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3C5DBD89" w14:textId="5ACC1596" w:rsidR="0085747A" w:rsidRPr="00844A50" w:rsidRDefault="00C258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4A50">
              <w:rPr>
                <w:rFonts w:ascii="Corbel" w:hAnsi="Corbel"/>
                <w:b w:val="0"/>
                <w:smallCaps w:val="0"/>
                <w:color w:val="06022E"/>
                <w:sz w:val="23"/>
                <w:szCs w:val="23"/>
                <w:shd w:val="clear" w:color="auto" w:fill="FFFFFF"/>
              </w:rPr>
              <w:t>Krytycznie oceniać politykę międzynarodową państw</w:t>
            </w:r>
          </w:p>
        </w:tc>
        <w:tc>
          <w:tcPr>
            <w:tcW w:w="1873" w:type="dxa"/>
          </w:tcPr>
          <w:p w14:paraId="733CF63A" w14:textId="36E72F04" w:rsidR="009965CC" w:rsidRPr="00B169DF" w:rsidRDefault="009965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D2A8B4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5CFAEF" w14:textId="77777777" w:rsidTr="00923D7D">
        <w:tc>
          <w:tcPr>
            <w:tcW w:w="9639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3833B62" w14:textId="77777777" w:rsidTr="00923D7D">
        <w:tc>
          <w:tcPr>
            <w:tcW w:w="9639" w:type="dxa"/>
          </w:tcPr>
          <w:p w14:paraId="413CE49F" w14:textId="2B3D9F76" w:rsidR="00C258BA" w:rsidRDefault="00C258BA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Prognostyka międzynarodowa – pojęcie, klasyfikacja, metody, techniki</w:t>
            </w:r>
          </w:p>
          <w:p w14:paraId="581B8E0A" w14:textId="4D3FD507" w:rsidR="00C258BA" w:rsidRDefault="00C258BA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Prognozowanie a planowanie polityki zagranicznej państwa oraz międzynarodowych stosunków politycznych i gospodarczych</w:t>
            </w:r>
          </w:p>
          <w:p w14:paraId="3424ED26" w14:textId="24DC5E3D" w:rsidR="00C258BA" w:rsidRDefault="00C258BA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Metody prognozowania stosunków międzynarodowych</w:t>
            </w:r>
          </w:p>
          <w:p w14:paraId="07AAAAA4" w14:textId="351804D4" w:rsidR="00A41CDD" w:rsidRDefault="00A41CDD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Możliwości i ograniczenia prognostyki międzynarodowej</w:t>
            </w:r>
          </w:p>
          <w:p w14:paraId="40891B51" w14:textId="757E1B78" w:rsidR="00A41CDD" w:rsidRDefault="00A41CDD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Postrzeganie stosunków międzynarodowych.</w:t>
            </w:r>
          </w:p>
          <w:p w14:paraId="1178DC05" w14:textId="6F0679E8" w:rsidR="00A41CDD" w:rsidRDefault="00A41CDD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Prognozowanie a prawidłowości, cykle, trendy.</w:t>
            </w:r>
          </w:p>
          <w:p w14:paraId="4D6E969F" w14:textId="5F910C72" w:rsidR="00A41CDD" w:rsidRDefault="00A41CDD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Przetwarzanie informacji w program działania.</w:t>
            </w:r>
          </w:p>
          <w:p w14:paraId="79A4A8FB" w14:textId="2D72A9FF" w:rsidR="00A41CDD" w:rsidRDefault="00A41CDD" w:rsidP="00A41CDD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Prognozowanie a międzynarodowe stosunki polityczne.</w:t>
            </w:r>
          </w:p>
          <w:p w14:paraId="101367D6" w14:textId="2F671495" w:rsidR="0085747A" w:rsidRPr="00A41CDD" w:rsidRDefault="00A41CDD" w:rsidP="00C258BA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Modele procesu decyzyjnego w procesie planowania.</w:t>
            </w: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00A41CDD">
        <w:tc>
          <w:tcPr>
            <w:tcW w:w="9520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98342BB" w14:textId="77777777" w:rsidTr="00A41CDD">
        <w:tc>
          <w:tcPr>
            <w:tcW w:w="9520" w:type="dxa"/>
          </w:tcPr>
          <w:p w14:paraId="071B9DD9" w14:textId="1A8A0842" w:rsidR="0085747A" w:rsidRPr="00B169DF" w:rsidRDefault="000E3D7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Przedstawienie i analiza wybranych s</w:t>
            </w:r>
            <w:r w:rsidR="00C258BA">
              <w:rPr>
                <w:rFonts w:ascii="Roboto" w:hAnsi="Roboto"/>
                <w:color w:val="06022E"/>
                <w:sz w:val="23"/>
                <w:szCs w:val="23"/>
              </w:rPr>
              <w:t>cenariusz</w:t>
            </w:r>
            <w:r>
              <w:rPr>
                <w:rFonts w:ascii="Roboto" w:hAnsi="Roboto"/>
                <w:color w:val="06022E"/>
                <w:sz w:val="23"/>
                <w:szCs w:val="23"/>
              </w:rPr>
              <w:t xml:space="preserve">y </w:t>
            </w:r>
          </w:p>
        </w:tc>
      </w:tr>
      <w:tr w:rsidR="0085747A" w:rsidRPr="00B169DF" w14:paraId="694502D2" w14:textId="77777777" w:rsidTr="00A41CDD">
        <w:tc>
          <w:tcPr>
            <w:tcW w:w="9520" w:type="dxa"/>
          </w:tcPr>
          <w:p w14:paraId="4BA3E2EA" w14:textId="458927F1" w:rsidR="0085747A" w:rsidRPr="00B169DF" w:rsidRDefault="00A41C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S</w:t>
            </w:r>
            <w:r w:rsidR="000E3D70">
              <w:rPr>
                <w:rFonts w:ascii="Roboto" w:hAnsi="Roboto"/>
                <w:color w:val="06022E"/>
                <w:sz w:val="23"/>
                <w:szCs w:val="23"/>
              </w:rPr>
              <w:t>ymulacje</w:t>
            </w:r>
          </w:p>
        </w:tc>
      </w:tr>
      <w:tr w:rsidR="00A41CDD" w:rsidRPr="00B169DF" w14:paraId="2EF957BA" w14:textId="77777777" w:rsidTr="00A41CDD">
        <w:tc>
          <w:tcPr>
            <w:tcW w:w="9520" w:type="dxa"/>
          </w:tcPr>
          <w:p w14:paraId="2A23802F" w14:textId="6D093206" w:rsidR="00A41CDD" w:rsidRPr="00A41CDD" w:rsidRDefault="00A41CDD" w:rsidP="006B1E00">
            <w:pPr>
              <w:pStyle w:val="Akapitzlist"/>
              <w:spacing w:after="0" w:line="240" w:lineRule="auto"/>
              <w:ind w:left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Gry decyzyjne</w:t>
            </w:r>
          </w:p>
        </w:tc>
      </w:tr>
      <w:tr w:rsidR="00A41CDD" w:rsidRPr="00B169DF" w14:paraId="3B183A2E" w14:textId="77777777" w:rsidTr="00A41CDD">
        <w:tc>
          <w:tcPr>
            <w:tcW w:w="9520" w:type="dxa"/>
          </w:tcPr>
          <w:p w14:paraId="4535C6CB" w14:textId="30E1CEA2" w:rsidR="00A41CDD" w:rsidRPr="00A41CDD" w:rsidRDefault="00A41CDD" w:rsidP="00A41CDD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Modelowanie i pomiar w prognozowaniu i planowaniu stosunków międzynarodowych</w:t>
            </w:r>
          </w:p>
        </w:tc>
      </w:tr>
      <w:tr w:rsidR="00A41CDD" w:rsidRPr="00B169DF" w14:paraId="5E981CA3" w14:textId="77777777" w:rsidTr="006B1E00">
        <w:tc>
          <w:tcPr>
            <w:tcW w:w="9520" w:type="dxa"/>
          </w:tcPr>
          <w:p w14:paraId="7DBD349B" w14:textId="77A7E176" w:rsidR="00A41CDD" w:rsidRPr="00A41CDD" w:rsidRDefault="00A41CDD" w:rsidP="00A41CDD">
            <w:pPr>
              <w:pStyle w:val="NormalnyWeb"/>
              <w:shd w:val="clear" w:color="auto" w:fill="FFFFFF"/>
              <w:spacing w:before="0" w:beforeAutospacing="0" w:after="90" w:afterAutospacing="0"/>
              <w:rPr>
                <w:rFonts w:ascii="Roboto" w:hAnsi="Roboto"/>
                <w:color w:val="06022E"/>
                <w:sz w:val="23"/>
                <w:szCs w:val="23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Modele pomiaru potęgi państw jako podstawa identyfikacji i oceny układu sił</w:t>
            </w:r>
          </w:p>
        </w:tc>
      </w:tr>
      <w:tr w:rsidR="0085747A" w:rsidRPr="00B169DF" w14:paraId="2B136535" w14:textId="77777777" w:rsidTr="00A41CDD">
        <w:tc>
          <w:tcPr>
            <w:tcW w:w="9520" w:type="dxa"/>
          </w:tcPr>
          <w:p w14:paraId="178A2E00" w14:textId="14A8BF92" w:rsidR="00A41CDD" w:rsidRPr="00B169DF" w:rsidRDefault="00A41CDD" w:rsidP="00A41C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Roboto" w:hAnsi="Roboto"/>
                <w:color w:val="06022E"/>
                <w:sz w:val="23"/>
                <w:szCs w:val="23"/>
              </w:rPr>
              <w:t>Modele układu stosunków międzynarodowych – ich dynamika i logika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7F63B" w14:textId="0CBB0C00" w:rsidR="0085747A" w:rsidRDefault="000E3D7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Wykład z prezentacją, omówienie przykładów.</w:t>
      </w:r>
    </w:p>
    <w:p w14:paraId="52E69452" w14:textId="4A8C4BD7" w:rsidR="00E960BB" w:rsidRPr="000E3D70" w:rsidRDefault="000E3D70" w:rsidP="000E3D7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Ćwiczenia – case study, gry symulacyjne, analiza scenariuszy. </w:t>
      </w: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C05F44">
        <w:tc>
          <w:tcPr>
            <w:tcW w:w="1985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202D01A9" w14:textId="77777777" w:rsidTr="00C05F44">
        <w:tc>
          <w:tcPr>
            <w:tcW w:w="1985" w:type="dxa"/>
          </w:tcPr>
          <w:p w14:paraId="2014450C" w14:textId="77777777" w:rsidR="0085747A" w:rsidRPr="000E3D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3D7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4A9A79D" w14:textId="62723570" w:rsidR="0085747A" w:rsidRPr="000E3D70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3D70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ustny</w:t>
            </w:r>
          </w:p>
        </w:tc>
        <w:tc>
          <w:tcPr>
            <w:tcW w:w="2126" w:type="dxa"/>
          </w:tcPr>
          <w:p w14:paraId="3B900C19" w14:textId="1854384D" w:rsidR="0085747A" w:rsidRPr="00B169DF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E3D70" w:rsidRPr="00B169DF" w14:paraId="06640A1A" w14:textId="77777777" w:rsidTr="00D60E8C">
        <w:tc>
          <w:tcPr>
            <w:tcW w:w="1985" w:type="dxa"/>
          </w:tcPr>
          <w:p w14:paraId="3CD7AC05" w14:textId="77777777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8EF2325" w14:textId="64C5ED50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26" w:type="dxa"/>
          </w:tcPr>
          <w:p w14:paraId="4924086D" w14:textId="66A84A0B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E3D70" w:rsidRPr="00B169DF" w14:paraId="27A3C175" w14:textId="77777777" w:rsidTr="00D60E8C">
        <w:tc>
          <w:tcPr>
            <w:tcW w:w="1985" w:type="dxa"/>
          </w:tcPr>
          <w:p w14:paraId="46E44C61" w14:textId="521F56F3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F530346" w14:textId="1AB5F3A7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26" w:type="dxa"/>
          </w:tcPr>
          <w:p w14:paraId="6EB16CB1" w14:textId="612D6AE6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E3D70" w:rsidRPr="00B169DF" w14:paraId="113ACD8B" w14:textId="77777777" w:rsidTr="00D60E8C">
        <w:tc>
          <w:tcPr>
            <w:tcW w:w="1985" w:type="dxa"/>
          </w:tcPr>
          <w:p w14:paraId="43A71511" w14:textId="14C857D2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BDFF794" w14:textId="26864976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Obecność, aktywność, referat, kolokwium</w:t>
            </w:r>
          </w:p>
        </w:tc>
        <w:tc>
          <w:tcPr>
            <w:tcW w:w="2126" w:type="dxa"/>
          </w:tcPr>
          <w:p w14:paraId="5A29D0C4" w14:textId="0FFAF7C2" w:rsidR="000E3D70" w:rsidRPr="00B169DF" w:rsidRDefault="000E3D70" w:rsidP="00D60E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Ćwiczenie</w:t>
            </w:r>
          </w:p>
        </w:tc>
      </w:tr>
      <w:tr w:rsidR="0085747A" w:rsidRPr="00B169DF" w14:paraId="15E51BF9" w14:textId="77777777" w:rsidTr="00C05F44">
        <w:tc>
          <w:tcPr>
            <w:tcW w:w="1985" w:type="dxa"/>
          </w:tcPr>
          <w:p w14:paraId="79A57D6B" w14:textId="2D7DA39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0E3D7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CC96795" w14:textId="57BDEAAF" w:rsidR="0085747A" w:rsidRPr="00B169DF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Obecność, aktywność, referat, kolokwium</w:t>
            </w:r>
          </w:p>
        </w:tc>
        <w:tc>
          <w:tcPr>
            <w:tcW w:w="2126" w:type="dxa"/>
          </w:tcPr>
          <w:p w14:paraId="3597A6C1" w14:textId="1AD0410A" w:rsidR="0085747A" w:rsidRPr="00B169DF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Ćwiczenie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491AC9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AC9509" w14:textId="7352471D" w:rsidR="00923D7D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ustny: odpowiedź na dwa pytania z listy wcześniej przygotowanej przez prowadzącego</w:t>
            </w:r>
            <w:r w:rsidR="00D8094B">
              <w:rPr>
                <w:rFonts w:ascii="Corbel" w:hAnsi="Corbel"/>
                <w:b w:val="0"/>
                <w:smallCaps w:val="0"/>
                <w:szCs w:val="24"/>
              </w:rPr>
              <w:t xml:space="preserve"> i przekazanej studentom z odpowiednim wyprzedzeniem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Pytania dotyczą treści przekazywanej w trakcie wykładów oraz pula pytań z literatury obowiązkowej</w:t>
            </w:r>
            <w:r w:rsidR="00D8094B">
              <w:rPr>
                <w:rFonts w:ascii="Corbel" w:hAnsi="Corbel"/>
                <w:b w:val="0"/>
                <w:smallCaps w:val="0"/>
                <w:szCs w:val="24"/>
              </w:rPr>
              <w:t>. Dla zaliczenia egzaminu konieczne jest uzyskanie pozytywnej oceny z obu pytań.</w:t>
            </w:r>
          </w:p>
          <w:p w14:paraId="4B85569E" w14:textId="77777777" w:rsidR="000E3D70" w:rsidRDefault="000E3D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7EE535" w14:textId="6FA63EAC" w:rsidR="000E3D70" w:rsidRDefault="009C1C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0E3D70">
              <w:rPr>
                <w:rFonts w:ascii="Corbel" w:hAnsi="Corbel"/>
                <w:b w:val="0"/>
                <w:smallCaps w:val="0"/>
                <w:szCs w:val="24"/>
              </w:rPr>
              <w:t>: Obecność obowiązkowa, przygotowanie referatu na ćwiczenia, ocena aktywności podczas zajęć, kolokwium – 3 pytania (po 20pkt każde) oceniane wg punktacji: 0-30pkt – 2; 31-40pkt – 3; 41-45</w:t>
            </w:r>
            <w:r w:rsidR="006012A8">
              <w:rPr>
                <w:rFonts w:ascii="Corbel" w:hAnsi="Corbel"/>
                <w:b w:val="0"/>
                <w:smallCaps w:val="0"/>
                <w:szCs w:val="24"/>
              </w:rPr>
              <w:t xml:space="preserve"> – 3,5; 46-50 – 4; 51-55 – 4,5; 56-60 – 5.</w:t>
            </w:r>
            <w:r w:rsidR="00D8094B">
              <w:rPr>
                <w:rFonts w:ascii="Corbel" w:hAnsi="Corbel"/>
                <w:b w:val="0"/>
                <w:smallCaps w:val="0"/>
                <w:szCs w:val="24"/>
              </w:rPr>
              <w:t xml:space="preserve"> Ostatecznie student może uzyskać 100 punktów z czego: 60 pkt. kolokwium, 20 pkt. referat i 20 pkt. aktywność w trakcie zajęć. Skala ocen końcowych z zaliczenia konwersatorium:</w:t>
            </w:r>
          </w:p>
          <w:p w14:paraId="11DE0437" w14:textId="1F1387B9" w:rsidR="00D8094B" w:rsidRDefault="00D8094B" w:rsidP="00D8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91-100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5,0 </w:t>
            </w:r>
          </w:p>
          <w:p w14:paraId="0D5476B1" w14:textId="39C72419" w:rsidR="00D8094B" w:rsidRDefault="00D8094B" w:rsidP="00D8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4,5 </w:t>
            </w:r>
          </w:p>
          <w:p w14:paraId="7C5A2D6D" w14:textId="29A0C051" w:rsidR="00D8094B" w:rsidRDefault="00D8094B" w:rsidP="00D8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4,0 </w:t>
            </w:r>
          </w:p>
          <w:p w14:paraId="2A8DB997" w14:textId="7FD98E1F" w:rsidR="00D8094B" w:rsidRDefault="00D8094B" w:rsidP="00D8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3,5 </w:t>
            </w:r>
          </w:p>
          <w:p w14:paraId="1A15AD99" w14:textId="576CEC44" w:rsidR="00D8094B" w:rsidRDefault="00D8094B" w:rsidP="00D8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3,0</w:t>
            </w:r>
          </w:p>
          <w:p w14:paraId="2EDE4B58" w14:textId="77777777" w:rsidR="0085747A" w:rsidRPr="00B169DF" w:rsidRDefault="0085747A" w:rsidP="00D809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18A8AE71" w:rsidR="0085747A" w:rsidRPr="00B169DF" w:rsidRDefault="006012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4CAE6F09" w:rsidR="00C61DC5" w:rsidRPr="00B169DF" w:rsidRDefault="006012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5BCA2E47" w:rsidR="00C61DC5" w:rsidRPr="00B169DF" w:rsidRDefault="006012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57DB4DFA" w:rsidR="0085747A" w:rsidRPr="00B169DF" w:rsidRDefault="006012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1428880D" w:rsidR="0085747A" w:rsidRPr="00B169DF" w:rsidRDefault="006012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44A50" w14:paraId="0EF70567" w14:textId="77777777" w:rsidTr="0071620A">
        <w:trPr>
          <w:trHeight w:val="397"/>
        </w:trPr>
        <w:tc>
          <w:tcPr>
            <w:tcW w:w="7513" w:type="dxa"/>
          </w:tcPr>
          <w:p w14:paraId="1ECF3557" w14:textId="77777777" w:rsidR="0085747A" w:rsidRPr="00601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</w:pPr>
            <w:r w:rsidRPr="006012A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012A8" w:rsidRPr="006012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012A8" w:rsidRPr="006012A8"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</w:rPr>
              <w:t>M. Sułek, „Prognozowanie i symulacje międzynarodowe”, Warszawa 2010.</w:t>
            </w:r>
          </w:p>
          <w:p w14:paraId="0B09B87B" w14:textId="24CC3CD3" w:rsidR="006012A8" w:rsidRPr="006012A8" w:rsidRDefault="006012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012A8">
              <w:rPr>
                <w:rFonts w:ascii="Corbel" w:hAnsi="Corbel"/>
                <w:b w:val="0"/>
                <w:color w:val="06022E"/>
                <w:szCs w:val="24"/>
                <w:shd w:val="clear" w:color="auto" w:fill="F8F8F8"/>
                <w:lang w:val="en-US"/>
              </w:rPr>
              <w:t>N. N. Taleb, „The Balck Swan. The Impact of Highly Improbable”, New York: Random House, 2007</w:t>
            </w:r>
          </w:p>
        </w:tc>
      </w:tr>
      <w:tr w:rsidR="0085747A" w:rsidRPr="00844A50" w14:paraId="7B4847A9" w14:textId="77777777" w:rsidTr="0071620A">
        <w:trPr>
          <w:trHeight w:val="397"/>
        </w:trPr>
        <w:tc>
          <w:tcPr>
            <w:tcW w:w="7513" w:type="dxa"/>
          </w:tcPr>
          <w:p w14:paraId="6E4F90AE" w14:textId="77777777" w:rsidR="006012A8" w:rsidRPr="006012A8" w:rsidRDefault="0085747A" w:rsidP="006012A8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  <w:lang w:val="en-US"/>
              </w:rPr>
            </w:pPr>
            <w:r w:rsidRPr="006012A8">
              <w:rPr>
                <w:rFonts w:ascii="Corbel" w:hAnsi="Corbel"/>
                <w:lang w:val="en-US"/>
              </w:rPr>
              <w:t xml:space="preserve">Literatura uzupełniająca: </w:t>
            </w:r>
            <w:r w:rsidR="006012A8" w:rsidRPr="006012A8">
              <w:rPr>
                <w:rFonts w:ascii="Corbel" w:hAnsi="Corbel"/>
                <w:color w:val="06022E"/>
                <w:lang w:val="en-US"/>
              </w:rPr>
              <w:t>M. Granger Morgan, M. Henrion, „Uncertainty. A Guide to Dealing with Uncertainty in Quantitative Risk and Policy Analysis”, Cambridge University Press, 1990.</w:t>
            </w:r>
          </w:p>
          <w:p w14:paraId="7D6E5519" w14:textId="77777777" w:rsidR="006012A8" w:rsidRPr="006012A8" w:rsidRDefault="006012A8" w:rsidP="006012A8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  <w:lang w:val="en-US"/>
              </w:rPr>
            </w:pPr>
            <w:r w:rsidRPr="006012A8">
              <w:rPr>
                <w:rFonts w:ascii="Corbel" w:hAnsi="Corbel"/>
                <w:color w:val="06022E"/>
                <w:lang w:val="en-US"/>
              </w:rPr>
              <w:t>R. Heuer, R. Pherson, „Structured Analytic Techniques for Intelligence Analysis”, CQ Press, 2010.</w:t>
            </w:r>
          </w:p>
          <w:p w14:paraId="0CC3A3E2" w14:textId="77777777" w:rsidR="006012A8" w:rsidRPr="006012A8" w:rsidRDefault="006012A8" w:rsidP="006012A8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  <w:lang w:val="en-US"/>
              </w:rPr>
            </w:pPr>
            <w:r w:rsidRPr="006012A8">
              <w:rPr>
                <w:rFonts w:ascii="Corbel" w:hAnsi="Corbel"/>
                <w:color w:val="06022E"/>
                <w:lang w:val="en-US"/>
              </w:rPr>
              <w:t>R. Lempert, S. Popper, S. Bankes, Shaping the next one hundred years : new methods for quantitative, long-term policy analysis, RAND, 2003.</w:t>
            </w:r>
          </w:p>
          <w:p w14:paraId="4872DC0F" w14:textId="77777777" w:rsidR="006012A8" w:rsidRPr="006012A8" w:rsidRDefault="006012A8" w:rsidP="006012A8">
            <w:pPr>
              <w:pStyle w:val="NormalnyWeb"/>
              <w:shd w:val="clear" w:color="auto" w:fill="F8F8F8"/>
              <w:spacing w:before="0" w:beforeAutospacing="0" w:after="90" w:afterAutospacing="0"/>
              <w:rPr>
                <w:rFonts w:ascii="Corbel" w:hAnsi="Corbel"/>
                <w:color w:val="06022E"/>
                <w:lang w:val="en-US"/>
              </w:rPr>
            </w:pPr>
            <w:r w:rsidRPr="006012A8">
              <w:rPr>
                <w:rFonts w:ascii="Corbel" w:hAnsi="Corbel"/>
                <w:color w:val="06022E"/>
                <w:lang w:val="en-US"/>
              </w:rPr>
              <w:t>S. Renshon, D. Welch Larson, „Good Judgment in Foreign Policy. Theory and Application”, Oxford: Rowman, 2003.</w:t>
            </w:r>
          </w:p>
          <w:p w14:paraId="3596F52B" w14:textId="797105CF" w:rsidR="0085747A" w:rsidRPr="006012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1EF224D1" w14:textId="77777777" w:rsidR="0085747A" w:rsidRPr="00601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A7B3AAB" w14:textId="77777777" w:rsidR="0085747A" w:rsidRPr="006012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D7EA1" w14:textId="77777777" w:rsidR="00B37F94" w:rsidRDefault="00B37F94" w:rsidP="00C16ABF">
      <w:pPr>
        <w:spacing w:after="0" w:line="240" w:lineRule="auto"/>
      </w:pPr>
      <w:r>
        <w:separator/>
      </w:r>
    </w:p>
  </w:endnote>
  <w:endnote w:type="continuationSeparator" w:id="0">
    <w:p w14:paraId="160F0801" w14:textId="77777777" w:rsidR="00B37F94" w:rsidRDefault="00B37F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79562" w14:textId="77777777" w:rsidR="00B37F94" w:rsidRDefault="00B37F94" w:rsidP="00C16ABF">
      <w:pPr>
        <w:spacing w:after="0" w:line="240" w:lineRule="auto"/>
      </w:pPr>
      <w:r>
        <w:separator/>
      </w:r>
    </w:p>
  </w:footnote>
  <w:footnote w:type="continuationSeparator" w:id="0">
    <w:p w14:paraId="598EE731" w14:textId="77777777" w:rsidR="00B37F94" w:rsidRDefault="00B37F94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13FE"/>
    <w:multiLevelType w:val="hybridMultilevel"/>
    <w:tmpl w:val="61602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4750FC"/>
    <w:multiLevelType w:val="hybridMultilevel"/>
    <w:tmpl w:val="3086D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2F0068"/>
    <w:multiLevelType w:val="hybridMultilevel"/>
    <w:tmpl w:val="9F9EE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43B19"/>
    <w:multiLevelType w:val="hybridMultilevel"/>
    <w:tmpl w:val="A020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0227">
    <w:abstractNumId w:val="1"/>
  </w:num>
  <w:num w:numId="2" w16cid:durableId="2144078781">
    <w:abstractNumId w:val="0"/>
  </w:num>
  <w:num w:numId="3" w16cid:durableId="1718315410">
    <w:abstractNumId w:val="3"/>
  </w:num>
  <w:num w:numId="4" w16cid:durableId="864631710">
    <w:abstractNumId w:val="4"/>
  </w:num>
  <w:num w:numId="5" w16cid:durableId="204139700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70"/>
    <w:rsid w:val="000F1C57"/>
    <w:rsid w:val="000F5615"/>
    <w:rsid w:val="001045A1"/>
    <w:rsid w:val="0011344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2ADB"/>
    <w:rsid w:val="001D657B"/>
    <w:rsid w:val="001D7B54"/>
    <w:rsid w:val="001E0209"/>
    <w:rsid w:val="001F2CA2"/>
    <w:rsid w:val="002144C0"/>
    <w:rsid w:val="00222579"/>
    <w:rsid w:val="0022477D"/>
    <w:rsid w:val="002278A9"/>
    <w:rsid w:val="002312E9"/>
    <w:rsid w:val="002336F9"/>
    <w:rsid w:val="0024028F"/>
    <w:rsid w:val="00242C9D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BDE"/>
    <w:rsid w:val="003503F6"/>
    <w:rsid w:val="003530DD"/>
    <w:rsid w:val="00363F78"/>
    <w:rsid w:val="003769C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1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2A8"/>
    <w:rsid w:val="0061029B"/>
    <w:rsid w:val="00617230"/>
    <w:rsid w:val="00621CE1"/>
    <w:rsid w:val="00627FC9"/>
    <w:rsid w:val="00647FA8"/>
    <w:rsid w:val="00650C5F"/>
    <w:rsid w:val="00654934"/>
    <w:rsid w:val="006620D9"/>
    <w:rsid w:val="0066608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C7"/>
    <w:rsid w:val="0081554D"/>
    <w:rsid w:val="0081707E"/>
    <w:rsid w:val="008449B3"/>
    <w:rsid w:val="00844A50"/>
    <w:rsid w:val="008545A0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5"/>
    <w:rsid w:val="00916188"/>
    <w:rsid w:val="00923D7D"/>
    <w:rsid w:val="009508DF"/>
    <w:rsid w:val="00950DAC"/>
    <w:rsid w:val="00954A07"/>
    <w:rsid w:val="009965CC"/>
    <w:rsid w:val="00997F14"/>
    <w:rsid w:val="009A78D9"/>
    <w:rsid w:val="009C1CEB"/>
    <w:rsid w:val="009C3E31"/>
    <w:rsid w:val="009C54AE"/>
    <w:rsid w:val="009C788E"/>
    <w:rsid w:val="009D3F3B"/>
    <w:rsid w:val="009E0543"/>
    <w:rsid w:val="009E3B41"/>
    <w:rsid w:val="009F3C5C"/>
    <w:rsid w:val="009F4610"/>
    <w:rsid w:val="009F550F"/>
    <w:rsid w:val="00A00ECC"/>
    <w:rsid w:val="00A155EE"/>
    <w:rsid w:val="00A2245B"/>
    <w:rsid w:val="00A30110"/>
    <w:rsid w:val="00A36899"/>
    <w:rsid w:val="00A371F6"/>
    <w:rsid w:val="00A41CDD"/>
    <w:rsid w:val="00A43BF6"/>
    <w:rsid w:val="00A53FA5"/>
    <w:rsid w:val="00A54817"/>
    <w:rsid w:val="00A601C8"/>
    <w:rsid w:val="00A60799"/>
    <w:rsid w:val="00A84C85"/>
    <w:rsid w:val="00A97DE1"/>
    <w:rsid w:val="00AB053C"/>
    <w:rsid w:val="00AC4E1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19D3"/>
    <w:rsid w:val="00B37F94"/>
    <w:rsid w:val="00B40ADB"/>
    <w:rsid w:val="00B43B77"/>
    <w:rsid w:val="00B43E80"/>
    <w:rsid w:val="00B56062"/>
    <w:rsid w:val="00B607DB"/>
    <w:rsid w:val="00B66529"/>
    <w:rsid w:val="00B75946"/>
    <w:rsid w:val="00B8056E"/>
    <w:rsid w:val="00B819C8"/>
    <w:rsid w:val="00B82308"/>
    <w:rsid w:val="00B86B3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BA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5FC2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094B"/>
    <w:rsid w:val="00D8678B"/>
    <w:rsid w:val="00DA2114"/>
    <w:rsid w:val="00DA26A8"/>
    <w:rsid w:val="00DC5A74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9F0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58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110</TotalTime>
  <Pages>4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10</cp:revision>
  <cp:lastPrinted>2019-02-06T12:12:00Z</cp:lastPrinted>
  <dcterms:created xsi:type="dcterms:W3CDTF">2025-01-23T11:53:00Z</dcterms:created>
  <dcterms:modified xsi:type="dcterms:W3CDTF">2025-03-10T07:00:00Z</dcterms:modified>
</cp:coreProperties>
</file>